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үй жануарларына микрочип қалай салынған?</w:t>
        <w:br/>
        <w:br/>
      </w:r>
    </w:p>
    <w:p>
      <w:pPr>
        <w:jc w:val="left"/>
      </w:pPr>
      <w:r>
        <w:rPr>
          <w:b w:val="on"/>
          <w:i w:val="off"/>
          <w:sz w:val="28"/>
        </w:rPr>
        <w:t>Кіріспе</w:t>
        <w:br/>
      </w:r>
    </w:p>
    <w:p>
      <w:pPr>
        <w:jc w:val="left"/>
      </w:pPr>
      <w:r>
        <w:rPr>
          <w:b w:val="off"/>
          <w:i w:val="off"/>
          <w:sz w:val="24"/>
        </w:rPr>
        <w:t>Қазақстанда Қазақстан Республикасының «Жануарларға жауапкершілікпен қарау туралы» Заңына сәйкес иттер мен мысықтарды міндетті түрде есепке алу көзделген. Үй жануарларын есепке алу сәйкестендіру құралдарын пайдалану және жануар мен оның иесі туралы мәліметтерді дерекқорға енгізу арқылы жүзеге асырылады. Жануардың иесі заңнамада көзделген нұсқалардың ішінен есепке алу құралын өз бетінше таңдайды.</w:t>
        <w:br/>
      </w:r>
    </w:p>
    <w:p>
      <w:pPr>
        <w:pBdr>
          <w:bottom w:val="thick"/>
        </w:pBdr>
      </w:pPr>
    </w:p>
    <w:p>
      <w:r>
        <w:br/>
      </w:r>
    </w:p>
    <w:p>
      <w:pPr>
        <w:jc w:val="left"/>
      </w:pPr>
      <w:r>
        <w:rPr>
          <w:b w:val="on"/>
          <w:i w:val="off"/>
          <w:sz w:val="28"/>
        </w:rPr>
        <w:t>1. Чиптеу дегеніміз не?</w:t>
        <w:br/>
      </w:r>
    </w:p>
    <w:p>
      <w:pPr>
        <w:jc w:val="left"/>
      </w:pPr>
      <w:r>
        <w:rPr>
          <w:b w:val="on"/>
          <w:i w:val="on"/>
          <w:sz w:val="24"/>
        </w:rPr>
        <w:t>Нұсқаулық</w:t>
        <w:br/>
      </w:r>
    </w:p>
    <w:p>
      <w:pPr>
        <w:jc w:val="left"/>
      </w:pPr>
      <w:r>
        <w:rPr>
          <w:b w:val="off"/>
          <w:i w:val="off"/>
          <w:sz w:val="24"/>
        </w:rPr>
        <w:t>Чиптеу — үй жануарларын сәйкестендіру тәсілдерінің бірі. Бұл ретте жануардың терісінің астына бірегей нөмірі бар электрондық микрочип енгізіледі. Үй жануарларын есепке алу қолданыстағы Қағидаларда көзделген басқа да сәйкестендіру құралдарын қолдану арқылы жүзеге асырылуы мүмкін. Жануар мен оның иесі туралы ақпарат үй жануарларын есепке алу дерекқорына енгізіледі. Дерекқорда жануардың түрі, тұқымы, лақап аты, жасы, оның иесі, сәйкестендіру құралы, вакцинациясы және стерилизациясы туралы мәліметтер қамтылуы мүмкін. Есепке алу үшін пайдаланылатын ақпараттық жүйе заңнамада белгіленген тәртіппен айқындалады.</w:t>
        <w:br/>
      </w:r>
    </w:p>
    <w:p>
      <w:pPr>
        <w:jc w:val="left"/>
      </w:pPr>
      <w:r>
        <w:rPr>
          <w:b w:val="on"/>
          <w:i w:val="on"/>
          <w:sz w:val="24"/>
        </w:rPr>
        <w:t>Анықтамалық ақпарат</w:t>
        <w:br/>
      </w:r>
    </w:p>
    <w:p>
      <w:pPr>
        <w:jc w:val="left"/>
      </w:pPr>
      <w:r>
        <w:rPr>
          <w:sz w:val="24"/>
        </w:rPr>
        <w:t xml:space="preserve"> </w:t>
      </w:r>
      <w:hyperlink r:id="rId2">
        <w:r>
          <w:t>Үй жануарларын есепке алу қағидаларын және есепке алуға жататын үй жануарларының тізбесін бекіту туралы</w:t>
          <w:br/>
        </w:r>
      </w:hyperlink>
    </w:p>
    <w:p>
      <w:pPr>
        <w:jc w:val="left"/>
      </w:pPr>
      <w:r>
        <w:rPr>
          <w:sz w:val="24"/>
        </w:rPr>
        <w:t xml:space="preserve"> </w:t>
      </w:r>
      <w:hyperlink r:id="rId3">
        <w:r>
          <w:t>TANBA жануарлар тізілімімен ұлттық электрондық қызмет</w:t>
          <w:br/>
        </w:r>
      </w:hyperlink>
    </w:p>
    <w:p>
      <w:pPr>
        <w:pBdr>
          <w:bottom w:val="thick"/>
        </w:pBdr>
      </w:pPr>
    </w:p>
    <w:p>
      <w:r>
        <w:br/>
      </w:r>
    </w:p>
    <w:p>
      <w:pPr>
        <w:jc w:val="left"/>
      </w:pPr>
      <w:r>
        <w:rPr>
          <w:b w:val="on"/>
          <w:i w:val="off"/>
          <w:sz w:val="28"/>
        </w:rPr>
        <w:t>2. Үй жануарлары қалай есепке алынады?</w:t>
        <w:br/>
      </w:r>
    </w:p>
    <w:p>
      <w:pPr>
        <w:jc w:val="left"/>
      </w:pPr>
      <w:r>
        <w:rPr>
          <w:b w:val="on"/>
          <w:i w:val="on"/>
          <w:sz w:val="24"/>
        </w:rPr>
        <w:t>Нұсқаулық</w:t>
        <w:br/>
      </w:r>
    </w:p>
    <w:p>
      <w:pPr>
        <w:jc w:val="left"/>
      </w:pPr>
      <w:r>
        <w:rPr>
          <w:b w:val="off"/>
          <w:i w:val="off"/>
          <w:sz w:val="24"/>
        </w:rPr>
        <w:t>Иттер мен мысықтар міндетті түрде есепке алынуға жатады. Үй жануарларының жекелеген басқа түрлерін есепке алу бекітілген тізбеге сәйкес ерікті негізде жүзеге асырылады. Жануарды есепке қою үшін оның иесі белгіленген тәртіппен үй жануарларын тіркеуді жүзеге асыратын тұлғаға немесе ұйымға жүгінеді. Жануардың иесі Қағидаларда көзделген сәйкестендіру құралын өз бетінше таңдайды және сатып алады. Сәйкестендіруден кейін жануар мен оның иесі туралы мәліметтер тиісті дерекқорға енгізіледі.</w:t>
        <w:br/>
      </w:r>
    </w:p>
    <w:p>
      <w:pPr>
        <w:jc w:val="left"/>
      </w:pPr>
      <w:r>
        <w:rPr>
          <w:b w:val="on"/>
          <w:i w:val="on"/>
          <w:sz w:val="24"/>
        </w:rPr>
        <w:t>Анықтамалық ақпарат</w:t>
        <w:br/>
      </w:r>
    </w:p>
    <w:p>
      <w:pPr>
        <w:jc w:val="left"/>
      </w:pPr>
      <w:r>
        <w:rPr>
          <w:sz w:val="24"/>
        </w:rPr>
        <w:t xml:space="preserve"> </w:t>
      </w:r>
      <w:hyperlink r:id="rId4">
        <w:r>
          <w:t>Үй жануарларын есепке алу қағидаларын және есепке алуға жататын үй жануарларының тізбесін бекіту туралы</w:t>
          <w:br/>
        </w:r>
      </w:hyperlink>
    </w:p>
    <w:p>
      <w:pPr>
        <w:pBdr>
          <w:bottom w:val="thick"/>
        </w:pBdr>
      </w:pPr>
    </w:p>
    <w:p>
      <w:r>
        <w:br/>
      </w:r>
    </w:p>
    <w:p>
      <w:pPr>
        <w:jc w:val="left"/>
      </w:pPr>
      <w:r>
        <w:rPr>
          <w:b w:val="on"/>
          <w:i w:val="off"/>
          <w:sz w:val="28"/>
        </w:rPr>
        <w:t>3. Қандай құжаттарды дайындау керек?</w:t>
        <w:br/>
      </w:r>
    </w:p>
    <w:p>
      <w:pPr>
        <w:jc w:val="left"/>
      </w:pPr>
      <w:r>
        <w:rPr>
          <w:b w:val="on"/>
          <w:i w:val="on"/>
          <w:sz w:val="24"/>
        </w:rPr>
        <w:t>Нұсқаулық</w:t>
        <w:br/>
      </w:r>
    </w:p>
    <w:p>
      <w:pPr>
        <w:jc w:val="left"/>
      </w:pPr>
      <w:r>
        <w:rPr>
          <w:b w:val="off"/>
          <w:i w:val="off"/>
          <w:sz w:val="24"/>
        </w:rPr>
        <w:t>Үй жануарын есепке қою үшін төмендегілерді дайындау ұсынылады: жануар иесінің жеке басын куәландыратын құжат; жануардың ветеринариялық паспорты (бар болса); жануар туралы мәліметтер; жануар иесінің өзекті байланыс деректері. Қажетті мәліметтердің тізбесі және оларды ұсыну тәртібі үй жануарларын есепке алудың қолданыстағы Қағидаларымен айқындалады. Жануардың иесі, мекенжайы немесе байланыс деректері өзгерген жағдайда, дерекқордағы тиісті мәліметтердің белгіленген тәртіппен жаңартылуын қамтамасыз ету қажет.</w:t>
        <w:br/>
      </w:r>
    </w:p>
    <w:p>
      <w:pPr>
        <w:jc w:val="left"/>
      </w:pPr>
      <w:r>
        <w:rPr>
          <w:b w:val="on"/>
          <w:i w:val="on"/>
          <w:sz w:val="24"/>
        </w:rPr>
        <w:t>Анықтамалық ақпарат</w:t>
        <w:br/>
      </w:r>
    </w:p>
    <w:p>
      <w:pPr>
        <w:jc w:val="left"/>
      </w:pPr>
      <w:r>
        <w:rPr>
          <w:sz w:val="24"/>
        </w:rPr>
        <w:t xml:space="preserve"> </w:t>
      </w:r>
      <w:hyperlink r:id="rId5">
        <w:r>
          <w:t>Үй жануарларын есепке алу қағидаларын және есепке алуға жататын үй жануарларының тізбесін бекіту туралы</w:t>
          <w:br/>
        </w:r>
      </w:hyperlink>
    </w:p>
    <w:p>
      <w:pPr>
        <w:pBdr>
          <w:bottom w:val="thick"/>
        </w:pBdr>
      </w:pPr>
    </w:p>
    <w:p>
      <w:r>
        <w:br/>
      </w:r>
    </w:p>
    <w:p>
      <w:pPr>
        <w:jc w:val="left"/>
      </w:pPr>
      <w:r>
        <w:rPr>
          <w:b w:val="on"/>
          <w:i w:val="off"/>
          <w:sz w:val="28"/>
        </w:rPr>
        <w:t>4. Жануарға микрочип салмасаңыз не болады?</w:t>
        <w:br/>
      </w:r>
    </w:p>
    <w:p>
      <w:pPr>
        <w:jc w:val="left"/>
      </w:pPr>
      <w:r>
        <w:rPr>
          <w:b w:val="on"/>
          <w:i w:val="on"/>
          <w:sz w:val="24"/>
        </w:rPr>
        <w:t>Нұсқаулық</w:t>
        <w:br/>
      </w:r>
    </w:p>
    <w:p>
      <w:pPr>
        <w:jc w:val="left"/>
      </w:pPr>
      <w:r>
        <w:rPr>
          <w:b w:val="off"/>
          <w:i w:val="off"/>
          <w:sz w:val="24"/>
        </w:rPr>
        <w:t>Үй жануарларын есепке алуға қатысты заңнамада белгіленген талаптарды бұзу мынадай мөлшерде әкімшілік айыппұл салуға әкеп соғады: жеке тұлғаларға — 10 АЕК; лауазымды адамдарға — 20 АЕК; заңды тұлғаларға — 30 АЕК. Әкімшілік жаза қолданылғаннан кейін бір жыл ішінде құқық бұзушылық қайталап жасалған жағдайда мынадай айыппұлдар көзделген: жеке тұлғаларға — 20 АЕК; лауазымды адамдарға — 30 АЕК; заңды тұлғаларға — 40 АЕК. Жауапкершілік тек микрочиптің болмағаны үшін ғана емес, заңнамада белгіленген талаптарды бұзғаны үшін туындайды.</w:t>
        <w:br/>
      </w:r>
    </w:p>
    <w:p>
      <w:pPr>
        <w:jc w:val="left"/>
      </w:pPr>
      <w:r>
        <w:rPr>
          <w:b w:val="on"/>
          <w:i w:val="on"/>
          <w:sz w:val="24"/>
        </w:rPr>
        <w:t>Анықтамалық ақпарат</w:t>
        <w:br/>
      </w:r>
    </w:p>
    <w:p>
      <w:pPr>
        <w:jc w:val="left"/>
      </w:pPr>
      <w:r>
        <w:rPr>
          <w:sz w:val="24"/>
        </w:rPr>
        <w:t xml:space="preserve"> </w:t>
      </w:r>
      <w:hyperlink r:id="rId6">
        <w:r>
          <w:t>Әкімшілік құқық бұзушылық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200028148" TargetMode="External" Type="http://schemas.openxmlformats.org/officeDocument/2006/relationships/hyperlink"/><Relationship Id="rId3" Target="https://tanba.kezekte.kz/en/reestr-tanba-public/animal/list" TargetMode="External" Type="http://schemas.openxmlformats.org/officeDocument/2006/relationships/hyperlink"/><Relationship Id="rId4" Target="https://adilet.zan.kz/kaz/docs/V2200028148" TargetMode="External" Type="http://schemas.openxmlformats.org/officeDocument/2006/relationships/hyperlink"/><Relationship Id="rId5" Target="https://adilet.zan.kz/kaz/docs/V2200028148" TargetMode="External" Type="http://schemas.openxmlformats.org/officeDocument/2006/relationships/hyperlink"/><Relationship Id="rId6" Target="https://www.gov.kz/legalacts/details/K1400000235?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2026-10-29T08:59:08Z</dcterms:created>
  <dc:creator>Apache POI</dc:creator>
</cp:coreProperties>
</file>