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 w:val="on"/>
          <w:i w:val="off"/>
          <w:sz w:val="32"/>
        </w:rPr>
        <w:t>Киберқауіпсіздік қамтамасыз ету мәселелері бойынша ұсыныстар</w:t>
        <w:br/>
        <w:br/>
      </w:r>
    </w:p>
    <w:p>
      <w:pPr>
        <w:jc w:val="left"/>
      </w:pPr>
      <w:r>
        <w:rPr>
          <w:b w:val="on"/>
          <w:i w:val="off"/>
          <w:sz w:val="28"/>
        </w:rPr>
        <w:t>Кіріспе</w:t>
        <w:br/>
      </w:r>
    </w:p>
    <w:p>
      <w:pPr>
        <w:jc w:val="left"/>
      </w:pPr>
      <w:r>
        <w:rPr>
          <w:b w:val="off"/>
          <w:i w:val="off"/>
          <w:sz w:val="24"/>
        </w:rPr>
        <w:t>Киберқауіпсіздік мәселелері бойынша халықтың хабардарлық деңгейін арттыру мақсатында Қазақстан Республикасының Жасанды интеллект және цифрлық даму министрлігі қазақстандық MSSP Global компаниясымен бірлесіп халық үшін тегін портал іске қосты — citizensec.kz, бұл адамдарға жақсы түсінуге көмектесуге арналған сандық әлемде қалай қауіпсіз болу керек. Портал citizensec.kz қысқа бейне курстарын қамтиды кибер гигиена, сондай-ақ әртүрлі ұйымдардың басшылары үшін ақпараттық қауіпсіздікті құру әдістемесі. Бұл материалда киберқауіпсіздік мәселелері бойынша ұсынымдар қарастырыңыз.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Терминдер және анықтамалар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Халықтың хабардалық деңгейі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Деректер қауіпсіздігіне қауіп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Ақпараттық қауіпсіздіктің алдын алу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Ақпараттық қауіпсіздік бойынша ұсынымдар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6. Не істеу керек?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7. Интернет желісіндегі балалар мен жасөспірімдердің ақпараттық қауіпсіздігі ережелері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8. Кәсіпқойларға арналған бөлім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9. Ақпараттық қауіпсіздік Комитетінің өкілеттіктері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10. Компьютерлік оқиғалар кезінде қайда жүгінуге болады?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2026-10-29T08:57:05Z</dcterms:created>
  <dc:creator>Apache POI</dc:creator>
</cp:coreProperties>
</file>