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Шетелдік қаржыландыру кезінде қандай есептер ұсынылады</w:t>
        <w:br/>
        <w:br/>
      </w:r>
    </w:p>
    <w:p>
      <w:pPr>
        <w:jc w:val="left"/>
      </w:pPr>
      <w:r>
        <w:rPr>
          <w:b w:val="on"/>
          <w:i w:val="off"/>
          <w:sz w:val="28"/>
        </w:rPr>
        <w:t>Кіріспе</w:t>
        <w:br/>
      </w:r>
    </w:p>
    <w:p>
      <w:pPr>
        <w:jc w:val="left"/>
      </w:pPr>
      <w:r>
        <w:rPr>
          <w:b w:val="off"/>
          <w:i w:val="off"/>
          <w:sz w:val="24"/>
        </w:rPr>
        <w:t>Қазақстан Республикасында шет мемлекеттерден, халықаралық және шетелдік ұйымдардан, шетелдіктерден және азаматтығы жоқ адамдардан түсетін ақшаның және (немесе) өзге де мүліктің алынуы мен жұмсалуына мониторинг жүргізу көзделген. Хабарламалар мен мәліметтерді ұсыну міндеті Қазақстан Республикасының салық заңнамасында белгіленген шарттар болған жағдайда жеке және заңды тұлғаларға, сондай-ақ заңды тұлғалардың құрылымдық бөлімшелеріне қолданылады. Бұл материалда есептілікті кім ұсынуға міндетті екенін, қандай нысандар қолданылатынын, қандай мерзімдерде есеп беру қажет екенін және талаптарды бұзғаны үшін қандай жауаптылық көзделгенін қарастырамыз.</w:t>
        <w:br/>
      </w:r>
    </w:p>
    <w:p>
      <w:pPr>
        <w:pBdr>
          <w:bottom w:val="thick"/>
        </w:pBdr>
      </w:pPr>
    </w:p>
    <w:p>
      <w:r>
        <w:br/>
      </w:r>
    </w:p>
    <w:p>
      <w:pPr>
        <w:jc w:val="left"/>
      </w:pPr>
      <w:r>
        <w:rPr>
          <w:b w:val="on"/>
          <w:i w:val="off"/>
          <w:sz w:val="28"/>
        </w:rPr>
        <w:t>1. Шетелдік қаржыландыру мониторингі нені қамтиды</w:t>
        <w:br/>
      </w:r>
    </w:p>
    <w:p>
      <w:pPr>
        <w:jc w:val="left"/>
      </w:pPr>
      <w:r>
        <w:rPr>
          <w:b w:val="on"/>
          <w:i w:val="on"/>
          <w:sz w:val="24"/>
        </w:rPr>
        <w:t>Нұсқаулық</w:t>
        <w:br/>
      </w:r>
    </w:p>
    <w:p>
      <w:pPr>
        <w:jc w:val="left"/>
      </w:pPr>
      <w:r>
        <w:rPr>
          <w:b w:val="off"/>
          <w:i w:val="off"/>
          <w:sz w:val="24"/>
        </w:rPr>
        <w:t>Мониторинг мынадай көздерден алынатын ақшаға және (немесе) өзге де мүлікке қолданылады: шет мемлекеттерден; халықаралық және шетелдік ұйымдардан; шетелдіктерден; азаматтығы жоқ адамдардан. ҚР Салық кодексінің 56-бабының 9-тармағына және № 685 бұйрыққа сәйкес, егер ақша және (немесе) өзге де мүлік 1 теңгеден асатын мөлшерде алынып, төменде көрсетілген қызмет түрлеріне бағытталса, хабарламалар мен мәліметтерді ұсыну міндеті туындайды: 1. Заң көмегін көрсету, оның ішінде: құқықтық ақпарат беру; азаматтар мен ұйымдардың мүдделерін қорғау және өкілдік ету; заңдық консультация беру. 2. Қоғамдық пікірді зерделеу және қоғамдық пікірге сауалнамалар мен әлеуметтанушылық сауалнамалар жүргізу, сондай-ақ олардың нәтижелерін тарату және орналастыру. Коммерциялық мақсаттарда жүргізілетін қоғамдық пікірге сауалнамалар мен әлеуметтанушылық сауалнамалар бұған жатпайды. 3. Ақпаратты жинау, талдау және тарату. Мұндай қызмет коммерциялық мақсаттарда жүзеге асырылатын жағдайлар бұған жатпайды. Шетелден ақшалай қаражат алу фактісінің өзі аталған нысандарды ұсыну міндетінің туындауын білдірмейді. Қаржыландыру көзін, қаражаттың нысаналы мақсатын, қызметтің сипатын және заңнамада көзделген ерекшеліктерді ескеру қажет.</w:t>
        <w:br/>
      </w:r>
    </w:p>
    <w:p>
      <w:pPr>
        <w:jc w:val="left"/>
      </w:pPr>
      <w:r>
        <w:rPr>
          <w:b w:val="on"/>
          <w:i w:val="on"/>
          <w:sz w:val="24"/>
        </w:rPr>
        <w:t>Анықтамалық ақпарат</w:t>
        <w:br/>
      </w:r>
    </w:p>
    <w:p>
      <w:pPr>
        <w:jc w:val="left"/>
      </w:pPr>
      <w:r>
        <w:rPr>
          <w:sz w:val="24"/>
        </w:rPr>
        <w:t xml:space="preserve"> </w:t>
      </w:r>
      <w:hyperlink r:id="rId2">
        <w:r>
          <w:t>Қазақстан Республикасы Қаржы министрінің 2025 жылғы 10 қарашадағы № 685 бұйрығы.</w:t>
          <w:br/>
        </w:r>
      </w:hyperlink>
    </w:p>
    <w:p>
      <w:pPr>
        <w:jc w:val="left"/>
      </w:pPr>
      <w:r>
        <w:rPr>
          <w:sz w:val="24"/>
        </w:rPr>
        <w:t xml:space="preserve"> </w:t>
      </w:r>
      <w:hyperlink r:id="rId3">
        <w:r>
          <w:t>ҚАЗАҚСТАН РЕСПУБЛИКАСЫНЫҢ САЛЫҚ КОДЕКСІ</w:t>
          <w:br/>
        </w:r>
      </w:hyperlink>
    </w:p>
    <w:p>
      <w:pPr>
        <w:pBdr>
          <w:bottom w:val="thick"/>
        </w:pBdr>
      </w:pPr>
    </w:p>
    <w:p>
      <w:r>
        <w:br/>
      </w:r>
    </w:p>
    <w:p>
      <w:pPr>
        <w:jc w:val="left"/>
      </w:pPr>
      <w:r>
        <w:rPr>
          <w:b w:val="on"/>
          <w:i w:val="off"/>
          <w:sz w:val="28"/>
        </w:rPr>
        <w:t>2. Ақша мен өзге де мүлікті алу және жұмсау туралы есептілікті ұсыну</w:t>
        <w:br/>
      </w:r>
    </w:p>
    <w:p>
      <w:pPr>
        <w:jc w:val="left"/>
      </w:pPr>
      <w:r>
        <w:rPr>
          <w:b w:val="on"/>
          <w:i w:val="on"/>
          <w:sz w:val="24"/>
        </w:rPr>
        <w:t>Нұсқаулық</w:t>
        <w:br/>
      </w:r>
    </w:p>
    <w:p>
      <w:pPr>
        <w:jc w:val="left"/>
      </w:pPr>
      <w:r>
        <w:rPr>
          <w:b w:val="off"/>
          <w:i w:val="off"/>
          <w:sz w:val="24"/>
        </w:rPr>
        <w:t>Ақшаны және (немесе) өзге де мүлікті алғаны туралы хабарлама — 017.00ф нысаны Хабарлама субъектінің орналасқан жері бойынша мемлекеттік кірістер органына ұсынылады. Ұсыну мерзімі: ақша және (немесе) өзге де мүлік алынған күннен кейінгі күннен бастап 10 жұмыс күні ішінде. Бұрын алынған қаражатты алу шарттары, оның ішінде сомасы, мүліктің саны немесе міндеттемелерді орындау мерзімдері өзгерген жағдайда, хабарлама шарттар өзгерген күннен кейінгі күннен бастап 10 жұмыс күні ішінде ұсынылады. Алынған ақша және (немесе) өзге де мүлік қайтарылған жағдайда, қайтарылған күннен кейінгі күннен бастап 3 жұмыс күні ішінде қосымша хабарлама жіберіледі. Қосымша хабарламада негізгі хабарламаның тіркеу нөмірі көрсетіледі, ал тиісті сомалық мәндер қағидаларда белгіленген тәртіппен «минус» белгісімен көрсетіледі. Ақшаны және (немесе) өзге де мүлікті алу және жұмсау туралы мәліметтер — 018.00ф нысаны Мәліметтер күнтізбелік жартыжылдықтың қорытындысы бойынша ұсынылады. Ұсыну мерзімі: есепті жартыжылдықтан кейінгі екінші айдың 15-күнінен кешіктірмей. Осылайша: бірінші жартыжылдық үшін — 15 тамыздан кешіктірмей; екінші жартыжылдық үшін — келесі жылдың 15 ақпанынан кешіктірмей. Көрсетілуге жататын деректер болмаған жағдайда, мәліметтер нөлдік мәндермен ұсынылады. Мәліметтерді ұсыну белгіленген қағидаларға сәйкес алынған ақша және (немесе) өзге де мүлік толық жұмсалғанға дейін жалғасады. Хабарлама мен мәліметтерді қалай ұсынуға болады? Құжаттар субъектінің таңдауы бойынша мынадай тәсілдермен ұсынылады: Қағаз жеткізгіште — тиісті мемлекеттік кірістер органына. Электрондық нысанда — салық есептілігін қабылдау және өңдеу жүйесі арқылы. Электрондық құжаттар электрондық цифрлық қолтаңбамен (ЭЦҚ) куәландырылады. Қағаз жеткізгіште ұсынылған жағдайда құжаттар екі данада жасалады. Бір данасы мемлекеттік кірістер органының белгісімен өтініш берушіге қайтарылады. Маңызды: электрондық түрде тапсырған кезде құжаттың жүйе арқылы қабылданғанына көз жеткізу қажет. Егер құжатқа «Құжат қабылданбады» мәртебесі берілсе, ол ұсынылмаған болып есептеледі.</w:t>
        <w:br/>
      </w:r>
    </w:p>
    <w:p>
      <w:pPr>
        <w:jc w:val="left"/>
      </w:pPr>
      <w:r>
        <w:rPr>
          <w:b w:val="on"/>
          <w:i w:val="on"/>
          <w:sz w:val="24"/>
        </w:rPr>
        <w:t>Анықтамалық ақпарат</w:t>
        <w:br/>
      </w:r>
    </w:p>
    <w:p>
      <w:pPr>
        <w:jc w:val="left"/>
      </w:pPr>
      <w:r>
        <w:rPr>
          <w:sz w:val="24"/>
        </w:rPr>
        <w:t xml:space="preserve"> </w:t>
      </w:r>
      <w:hyperlink r:id="rId4">
        <w:r>
          <w:t>Қазақстан Республикасы Қаржы министрінің 2025 жылғы 10 қарашадағы № 685 бұйрығы.</w:t>
          <w:br/>
        </w:r>
      </w:hyperlink>
    </w:p>
    <w:p>
      <w:pPr>
        <w:jc w:val="left"/>
      </w:pPr>
      <w:r>
        <w:rPr>
          <w:sz w:val="24"/>
        </w:rPr>
        <w:t xml:space="preserve"> </w:t>
      </w:r>
      <w:hyperlink r:id="rId5">
        <w:r>
          <w:t>ҚАЗАҚСТАН РЕСПУБЛИКАСЫНЫҢ САЛЫҚ КОДЕКСІ</w:t>
          <w:br/>
        </w:r>
      </w:hyperlink>
    </w:p>
    <w:p>
      <w:pPr>
        <w:pBdr>
          <w:bottom w:val="thick"/>
        </w:pBdr>
      </w:pPr>
    </w:p>
    <w:p>
      <w:r>
        <w:br/>
      </w:r>
    </w:p>
    <w:p>
      <w:pPr>
        <w:jc w:val="left"/>
      </w:pPr>
      <w:r>
        <w:rPr>
          <w:b w:val="on"/>
          <w:i w:val="off"/>
          <w:sz w:val="28"/>
        </w:rPr>
        <w:t>3. Кім мониторингке жатпайды</w:t>
        <w:br/>
      </w:r>
    </w:p>
    <w:p>
      <w:pPr>
        <w:jc w:val="left"/>
      </w:pPr>
      <w:r>
        <w:rPr>
          <w:b w:val="on"/>
          <w:i w:val="on"/>
          <w:sz w:val="24"/>
        </w:rPr>
        <w:t>Нұсқаулық</w:t>
        <w:br/>
      </w:r>
    </w:p>
    <w:p>
      <w:pPr>
        <w:jc w:val="left"/>
      </w:pPr>
      <w:r>
        <w:rPr>
          <w:b w:val="off"/>
          <w:i w:val="off"/>
          <w:sz w:val="24"/>
        </w:rPr>
        <w:t>Қазақстан Республикасының Салық кодексінде шетелдік қаржыландыру туралы хабарламалар мен мәліметтерді ұсыну талаптары қолданылмайтын жағдайлар көзделген. Есептілікті ұсыну міндетін айқындау кезінде ҚР Салық кодексінің 56-бабының 9-тармағының ережелерін, оның ішінде алушылардың санаттарына, қаражат көздеріне және түскен қаражаттың нысаналы мақсатына қатысты белгіленген ерекшеліктерді ескеру қажет. Атап айтқанда, мониторингке жататын қызметті қаржыландыру мен әдеттегі коммерциялық қызметке байланысты түсімдерді ажырата білу қажет. Мысалы, есептілікті ұсыну міндетін бағалау кезінде алынған қаражаттың сыртқы сауда операцияларын жүзеге асыруға, коммерциялық қызметтер көрсетуге немесе заңнамада ерекшеліктер көзделген өзге де қызмет түрлеріне байланысты екенін ескеру қажет. Маңызды: есептілікті ұсынудан босату қолданыстағы заңнаманың нақты нормасымен расталуы тиіс. Шетелден түсетін барлық қаражат автоматты түрде мониторингке жатады немесе, керісінше, одан босатылады деп есептеуге болмайды. Ерекшеліктердің толық тізбесін ҚР Салық кодексінің қолданыстағы редакциясына сәйкес айқындау қажет.</w:t>
        <w:br/>
      </w:r>
    </w:p>
    <w:p>
      <w:pPr>
        <w:pBdr>
          <w:bottom w:val="thick"/>
        </w:pBdr>
      </w:pPr>
    </w:p>
    <w:p>
      <w:r>
        <w:br/>
      </w:r>
    </w:p>
    <w:p>
      <w:pPr>
        <w:jc w:val="left"/>
      </w:pPr>
      <w:r>
        <w:rPr>
          <w:b w:val="on"/>
          <w:i w:val="off"/>
          <w:sz w:val="28"/>
        </w:rPr>
        <w:t>4. Шетелдік қаржыландыру туралы мәліметтерді ұсынбағаны үшін жауапкершілік</w:t>
        <w:br/>
      </w:r>
    </w:p>
    <w:p>
      <w:pPr>
        <w:jc w:val="left"/>
      </w:pPr>
      <w:r>
        <w:rPr>
          <w:b w:val="on"/>
          <w:i w:val="on"/>
          <w:sz w:val="24"/>
        </w:rPr>
        <w:t>Нұсқаулық</w:t>
        <w:br/>
      </w:r>
    </w:p>
    <w:p>
      <w:pPr>
        <w:jc w:val="left"/>
      </w:pPr>
      <w:r>
        <w:rPr>
          <w:b w:val="off"/>
          <w:i w:val="off"/>
          <w:sz w:val="24"/>
        </w:rPr>
        <w:t>Қазақстан Республикасының Әкімшілік құқық бұзушылық туралы кодексінде шетелдік көздерден алынған ақшаны және (немесе) өзге де мүлікті алу және жұмсау туралы мәліметтерді ұсыну тәртібін бұзғаны үшін жауаптылық көзделген. Хабарламағаны, мәліметтерді ұсынбағаны немесе уақтылы ұсынбағаны үшін: Құқық бұзушының санаты Айыппұл Жеке тұлғалар 50 АЕК Шағын кәсіпкерлік субъектілері немесе коммерциялық емес ұйымдар 100 АЕК Орта кәсіпкерлік субъектілері 200 АЕК Ірі кәсіпкерлік субъектілері 350 АЕК Анық емес немесе көрінеу жалған мәліметтерді ұсынғаны үшін: Құқық бұзушының санаты Айыппұл Жеке тұлғалар 100 АЕК Шағын кәсіпкерлік субъектілері немесе коммерциялық емес ұйымдар 200 АЕК Орта кәсіпкерлік субъектілері 400 АЕК Ірі кәсіпкерлік субъектілері 700 АЕК Аталған құқық бұзушылық үшін қызметті тоқтата тұру да көзделген. Әкімшілік жаза қолданылғаннан кейін бір жыл ішінде құқық бұзушылықтарды қайталап жасағаны үшін: Құқық бұзушының санаты Айыппұл Жеке тұлғалар 150 АЕК Шағын кәсіпкерлік субъектілері немесе коммерциялық емес ұйымдар 250 АЕК Орта кәсіпкерлік субъектілері 450 АЕК Ірі кәсіпкерлік субъектілері 1 000 АЕК Құқық бұзушылық қайталанған жағдайда қызметке тыйым салу да көзделген. АЕК мөлшері тиісті қаржы жылына арналған заңнамаға сәйкес айқындалады.</w:t>
        <w:br/>
      </w:r>
    </w:p>
    <w:p>
      <w:pPr>
        <w:jc w:val="left"/>
      </w:pPr>
      <w:r>
        <w:rPr>
          <w:b w:val="on"/>
          <w:i w:val="on"/>
          <w:sz w:val="24"/>
        </w:rPr>
        <w:t>Анықтамалық ақпарат</w:t>
        <w:br/>
      </w:r>
    </w:p>
    <w:p>
      <w:pPr>
        <w:jc w:val="left"/>
      </w:pPr>
      <w:r>
        <w:rPr>
          <w:sz w:val="24"/>
        </w:rPr>
        <w:t xml:space="preserve"> </w:t>
      </w:r>
      <w:hyperlink r:id="rId6">
        <w:r>
          <w:t>"Әкімшілік құқық бұзушылық туралы" Кодекс 460-1-бап</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500037375" TargetMode="External" Type="http://schemas.openxmlformats.org/officeDocument/2006/relationships/hyperlink"/><Relationship Id="rId3" Target="https://adilet.zan.kz/kaz/docs/K2500000214" TargetMode="External" Type="http://schemas.openxmlformats.org/officeDocument/2006/relationships/hyperlink"/><Relationship Id="rId4" Target="https://adilet.zan.kz/kaz/docs/V2500037375" TargetMode="External" Type="http://schemas.openxmlformats.org/officeDocument/2006/relationships/hyperlink"/><Relationship Id="rId5" Target="https://adilet.zan.kz/kaz/docs/K2500000214" TargetMode="External" Type="http://schemas.openxmlformats.org/officeDocument/2006/relationships/hyperlink"/><Relationship Id="rId6" Target="https://adilet.zan.kz/kaz/docs/K140000023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2026-10-29T12:10:36Z</dcterms:created>
  <dc:creator>Apache POI</dc:creator>
</cp:coreProperties>
</file>